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5A" w:rsidRPr="009031AA" w:rsidRDefault="0016145A" w:rsidP="0016145A">
      <w:pPr>
        <w:tabs>
          <w:tab w:val="left" w:pos="2404"/>
        </w:tabs>
        <w:spacing w:before="27"/>
        <w:ind w:right="13"/>
        <w:jc w:val="center"/>
        <w:rPr>
          <w:rFonts w:ascii="Calibri"/>
          <w:b/>
          <w:color w:val="00B0F0"/>
          <w:sz w:val="36"/>
        </w:rPr>
      </w:pPr>
      <w:r w:rsidRPr="009031AA">
        <w:rPr>
          <w:rFonts w:ascii="Calibri"/>
          <w:b/>
          <w:color w:val="00B0F0"/>
          <w:sz w:val="36"/>
        </w:rPr>
        <w:t>A D M I T E</w:t>
      </w:r>
      <w:r w:rsidRPr="009031AA">
        <w:rPr>
          <w:rFonts w:ascii="Calibri"/>
          <w:b/>
          <w:color w:val="00B0F0"/>
          <w:spacing w:val="-3"/>
          <w:sz w:val="36"/>
        </w:rPr>
        <w:t xml:space="preserve"> </w:t>
      </w:r>
      <w:r w:rsidRPr="009031AA">
        <w:rPr>
          <w:rFonts w:ascii="Calibri"/>
          <w:b/>
          <w:color w:val="00B0F0"/>
          <w:sz w:val="36"/>
        </w:rPr>
        <w:t>R</w:t>
      </w:r>
      <w:r w:rsidRPr="009031AA">
        <w:rPr>
          <w:rFonts w:ascii="Calibri"/>
          <w:b/>
          <w:color w:val="00B0F0"/>
          <w:spacing w:val="-1"/>
          <w:sz w:val="36"/>
        </w:rPr>
        <w:t xml:space="preserve"> </w:t>
      </w:r>
      <w:r w:rsidRPr="009031AA">
        <w:rPr>
          <w:rFonts w:ascii="Calibri"/>
          <w:b/>
          <w:color w:val="00B0F0"/>
          <w:sz w:val="36"/>
        </w:rPr>
        <w:t>E</w:t>
      </w:r>
      <w:r w:rsidRPr="009031AA">
        <w:rPr>
          <w:rFonts w:ascii="Times New Roman"/>
          <w:color w:val="00B0F0"/>
          <w:sz w:val="36"/>
        </w:rPr>
        <w:tab/>
      </w:r>
      <w:r w:rsidRPr="009031AA">
        <w:rPr>
          <w:rFonts w:ascii="Calibri"/>
          <w:b/>
          <w:color w:val="00B0F0"/>
          <w:sz w:val="36"/>
        </w:rPr>
        <w:t>2 0 2</w:t>
      </w:r>
      <w:r w:rsidRPr="009031AA">
        <w:rPr>
          <w:rFonts w:ascii="Calibri"/>
          <w:b/>
          <w:color w:val="00B0F0"/>
          <w:spacing w:val="-1"/>
          <w:sz w:val="36"/>
        </w:rPr>
        <w:t xml:space="preserve"> </w:t>
      </w:r>
      <w:r w:rsidR="0022624C">
        <w:rPr>
          <w:rFonts w:ascii="Calibri"/>
          <w:b/>
          <w:color w:val="00B0F0"/>
          <w:sz w:val="36"/>
        </w:rPr>
        <w:t>1</w:t>
      </w:r>
    </w:p>
    <w:p w:rsidR="0016145A" w:rsidRPr="009031AA" w:rsidRDefault="000F3DD1" w:rsidP="0016145A">
      <w:pPr>
        <w:spacing w:before="213"/>
        <w:ind w:right="18"/>
        <w:jc w:val="center"/>
        <w:rPr>
          <w:rFonts w:ascii="Calibri" w:hAnsi="Calibri"/>
          <w:b/>
          <w:sz w:val="28"/>
        </w:rPr>
      </w:pPr>
      <w:r w:rsidRPr="009031AA">
        <w:rPr>
          <w:rFonts w:ascii="Calibri" w:hAnsi="Calibri"/>
          <w:b/>
          <w:sz w:val="28"/>
        </w:rPr>
        <w:t xml:space="preserve">STUDII UNIVERSITARE DE </w:t>
      </w:r>
      <w:r w:rsidR="00074FC0" w:rsidRPr="009031AA">
        <w:rPr>
          <w:rFonts w:ascii="Calibri" w:hAnsi="Calibri"/>
          <w:b/>
          <w:sz w:val="28"/>
        </w:rPr>
        <w:t>LICENȚĂ</w:t>
      </w:r>
    </w:p>
    <w:p w:rsidR="0016145A" w:rsidRDefault="0016145A" w:rsidP="0016145A">
      <w:pPr>
        <w:pStyle w:val="BodyText"/>
        <w:rPr>
          <w:rFonts w:ascii="Calibri"/>
          <w:b/>
          <w:sz w:val="20"/>
        </w:rPr>
      </w:pPr>
    </w:p>
    <w:p w:rsidR="0016145A" w:rsidRDefault="0016145A" w:rsidP="0016145A">
      <w:pPr>
        <w:pStyle w:val="BodyText"/>
        <w:spacing w:before="4"/>
        <w:rPr>
          <w:rFonts w:ascii="Calibri"/>
          <w:b/>
          <w:sz w:val="18"/>
        </w:rPr>
      </w:pPr>
    </w:p>
    <w:p w:rsidR="002F13CB" w:rsidRDefault="002F13CB" w:rsidP="0016145A">
      <w:pPr>
        <w:pStyle w:val="BodyText"/>
        <w:spacing w:before="4"/>
        <w:rPr>
          <w:rFonts w:ascii="Calibri"/>
          <w:b/>
          <w:sz w:val="18"/>
        </w:rPr>
      </w:pPr>
    </w:p>
    <w:p w:rsidR="0016145A" w:rsidRDefault="0016145A" w:rsidP="0016145A">
      <w:pPr>
        <w:pStyle w:val="Heading1"/>
        <w:spacing w:before="100"/>
        <w:jc w:val="both"/>
        <w:rPr>
          <w:u w:val="none"/>
        </w:rPr>
      </w:pPr>
      <w:r>
        <w:t>TAXA DE ADMITERE:</w:t>
      </w:r>
    </w:p>
    <w:p w:rsidR="0016145A" w:rsidRDefault="0016145A" w:rsidP="0016145A">
      <w:pPr>
        <w:pStyle w:val="BodyText"/>
        <w:jc w:val="both"/>
        <w:rPr>
          <w:b/>
        </w:rPr>
      </w:pPr>
    </w:p>
    <w:p w:rsidR="0016145A" w:rsidRDefault="0016145A" w:rsidP="0016145A">
      <w:pPr>
        <w:ind w:left="805"/>
        <w:jc w:val="both"/>
        <w:rPr>
          <w:b/>
          <w:sz w:val="24"/>
        </w:rPr>
      </w:pPr>
      <w:r>
        <w:rPr>
          <w:color w:val="1C2127"/>
          <w:sz w:val="24"/>
        </w:rPr>
        <w:t xml:space="preserve">Taxa de admitere este </w:t>
      </w:r>
      <w:r>
        <w:rPr>
          <w:b/>
          <w:color w:val="1C2127"/>
          <w:sz w:val="24"/>
        </w:rPr>
        <w:t>1</w:t>
      </w:r>
      <w:r w:rsidR="00074FC0">
        <w:rPr>
          <w:b/>
          <w:color w:val="1C2127"/>
          <w:sz w:val="24"/>
        </w:rPr>
        <w:t>5</w:t>
      </w:r>
      <w:r>
        <w:rPr>
          <w:b/>
          <w:color w:val="1C2127"/>
          <w:sz w:val="24"/>
        </w:rPr>
        <w:t>0 lei.</w:t>
      </w:r>
    </w:p>
    <w:p w:rsidR="0016145A" w:rsidRDefault="0016145A" w:rsidP="0016145A">
      <w:pPr>
        <w:pStyle w:val="BodyText"/>
        <w:jc w:val="both"/>
        <w:rPr>
          <w:b/>
        </w:rPr>
      </w:pPr>
    </w:p>
    <w:p w:rsidR="0016145A" w:rsidRPr="0016145A" w:rsidRDefault="0016145A" w:rsidP="009031AA">
      <w:pPr>
        <w:pStyle w:val="BodyText"/>
        <w:numPr>
          <w:ilvl w:val="0"/>
          <w:numId w:val="3"/>
        </w:numPr>
        <w:jc w:val="both"/>
        <w:rPr>
          <w:b/>
        </w:rPr>
      </w:pPr>
      <w:r>
        <w:rPr>
          <w:color w:val="1C2127"/>
        </w:rPr>
        <w:t xml:space="preserve">Candidații care se înscriu </w:t>
      </w:r>
      <w:r w:rsidRPr="0016145A">
        <w:rPr>
          <w:b/>
          <w:i/>
          <w:color w:val="1C2127"/>
        </w:rPr>
        <w:t>exclusiv online</w:t>
      </w:r>
      <w:r>
        <w:rPr>
          <w:i/>
          <w:color w:val="1C2127"/>
        </w:rPr>
        <w:t xml:space="preserve"> </w:t>
      </w:r>
      <w:r>
        <w:rPr>
          <w:color w:val="1C2127"/>
        </w:rPr>
        <w:t xml:space="preserve">beneficiază de reducere a taxei de înscriere cu </w:t>
      </w:r>
      <w:r>
        <w:rPr>
          <w:b/>
          <w:color w:val="1C2127"/>
        </w:rPr>
        <w:t>2</w:t>
      </w:r>
      <w:r w:rsidR="0022624C">
        <w:rPr>
          <w:b/>
          <w:color w:val="1C2127"/>
        </w:rPr>
        <w:t>0</w:t>
      </w:r>
      <w:r>
        <w:rPr>
          <w:b/>
          <w:color w:val="1C2127"/>
        </w:rPr>
        <w:t>%</w:t>
      </w:r>
      <w:r>
        <w:rPr>
          <w:b/>
        </w:rPr>
        <w:t xml:space="preserve"> </w:t>
      </w:r>
      <w:r>
        <w:rPr>
          <w:noProof/>
          <w:lang w:bidi="ar-SA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4937630</wp:posOffset>
            </wp:positionH>
            <wp:positionV relativeFrom="paragraph">
              <wp:posOffset>19135</wp:posOffset>
            </wp:positionV>
            <wp:extent cx="258953" cy="27660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53" cy="2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2127"/>
        </w:rPr>
        <w:t>și vor achita suma de</w:t>
      </w:r>
      <w:r w:rsidR="00074FC0">
        <w:rPr>
          <w:color w:val="1C2127"/>
        </w:rPr>
        <w:t xml:space="preserve"> </w:t>
      </w:r>
      <w:r w:rsidR="00074FC0" w:rsidRPr="00074FC0">
        <w:rPr>
          <w:b/>
          <w:color w:val="1C2127"/>
        </w:rPr>
        <w:t>1</w:t>
      </w:r>
      <w:r w:rsidR="0022624C">
        <w:rPr>
          <w:b/>
          <w:color w:val="1C2127"/>
        </w:rPr>
        <w:t>20</w:t>
      </w:r>
      <w:r>
        <w:rPr>
          <w:b/>
          <w:color w:val="1C2127"/>
        </w:rPr>
        <w:t xml:space="preserve"> lei</w:t>
      </w:r>
      <w:r>
        <w:rPr>
          <w:color w:val="1C2127"/>
        </w:rPr>
        <w:t>/dosar.</w:t>
      </w:r>
    </w:p>
    <w:p w:rsidR="0016145A" w:rsidRDefault="0016145A" w:rsidP="0016145A">
      <w:pPr>
        <w:pStyle w:val="BodyText"/>
        <w:spacing w:before="2"/>
        <w:jc w:val="both"/>
        <w:rPr>
          <w:sz w:val="32"/>
        </w:rPr>
      </w:pPr>
    </w:p>
    <w:p w:rsidR="0016145A" w:rsidRDefault="0016145A" w:rsidP="0016145A">
      <w:pPr>
        <w:spacing w:line="237" w:lineRule="auto"/>
        <w:ind w:left="100" w:firstLine="705"/>
        <w:jc w:val="both"/>
        <w:rPr>
          <w:sz w:val="24"/>
        </w:rPr>
      </w:pPr>
      <w:r>
        <w:rPr>
          <w:color w:val="202428"/>
          <w:sz w:val="24"/>
        </w:rPr>
        <w:t xml:space="preserve">Persoanele care solicită </w:t>
      </w:r>
      <w:r>
        <w:rPr>
          <w:b/>
          <w:color w:val="202428"/>
          <w:sz w:val="24"/>
        </w:rPr>
        <w:t xml:space="preserve">scutirea de taxă de înscriere </w:t>
      </w:r>
      <w:r>
        <w:rPr>
          <w:color w:val="202428"/>
          <w:sz w:val="24"/>
        </w:rPr>
        <w:t>la concursul de admitere, trebuie să prezinte unul din următoarele documente:</w:t>
      </w:r>
    </w:p>
    <w:p w:rsidR="0016145A" w:rsidRDefault="0016145A" w:rsidP="001614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/>
        <w:jc w:val="both"/>
        <w:rPr>
          <w:rFonts w:ascii="Symbol" w:hAnsi="Symbol"/>
          <w:color w:val="202428"/>
          <w:sz w:val="20"/>
        </w:rPr>
      </w:pPr>
      <w:r>
        <w:rPr>
          <w:color w:val="202428"/>
          <w:sz w:val="24"/>
        </w:rPr>
        <w:t>copii legalizate ale certificatelor de deces ale părinților (în cazul orfanilor de ambii</w:t>
      </w:r>
      <w:r>
        <w:rPr>
          <w:color w:val="202428"/>
          <w:spacing w:val="-34"/>
          <w:sz w:val="24"/>
        </w:rPr>
        <w:t xml:space="preserve"> </w:t>
      </w:r>
      <w:r>
        <w:rPr>
          <w:color w:val="202428"/>
          <w:sz w:val="24"/>
        </w:rPr>
        <w:t>părinți);</w:t>
      </w:r>
    </w:p>
    <w:p w:rsidR="0016145A" w:rsidRDefault="0016145A" w:rsidP="001614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jc w:val="both"/>
        <w:rPr>
          <w:rFonts w:ascii="Symbol" w:hAnsi="Symbol"/>
          <w:color w:val="202428"/>
          <w:sz w:val="20"/>
        </w:rPr>
      </w:pPr>
      <w:r>
        <w:rPr>
          <w:color w:val="202428"/>
          <w:sz w:val="24"/>
        </w:rPr>
        <w:t xml:space="preserve">adeverință de la casa de copii / </w:t>
      </w:r>
      <w:r>
        <w:rPr>
          <w:rFonts w:ascii="Arial" w:hAnsi="Arial"/>
          <w:color w:val="4C5055"/>
          <w:sz w:val="21"/>
        </w:rPr>
        <w:t xml:space="preserve">centrul de plasament </w:t>
      </w:r>
      <w:r>
        <w:rPr>
          <w:color w:val="202428"/>
          <w:sz w:val="24"/>
        </w:rPr>
        <w:t>(în cazul celor aflați în această</w:t>
      </w:r>
      <w:r>
        <w:rPr>
          <w:color w:val="202428"/>
          <w:spacing w:val="-38"/>
          <w:sz w:val="24"/>
        </w:rPr>
        <w:t xml:space="preserve"> </w:t>
      </w:r>
      <w:r>
        <w:rPr>
          <w:color w:val="202428"/>
          <w:sz w:val="24"/>
        </w:rPr>
        <w:t>situație);</w:t>
      </w:r>
    </w:p>
    <w:p w:rsidR="0016145A" w:rsidRDefault="0016145A" w:rsidP="001614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 w:line="237" w:lineRule="auto"/>
        <w:ind w:right="113"/>
        <w:jc w:val="both"/>
        <w:rPr>
          <w:rFonts w:ascii="Symbol" w:hAnsi="Symbol"/>
          <w:color w:val="202428"/>
          <w:sz w:val="20"/>
        </w:rPr>
      </w:pPr>
      <w:r>
        <w:rPr>
          <w:color w:val="202428"/>
          <w:sz w:val="24"/>
        </w:rPr>
        <w:t xml:space="preserve">adeverință din care să rezulte calitatea de personal didactic sau didactic auxiliar, în activitate sau pensionat, </w:t>
      </w:r>
      <w:r>
        <w:rPr>
          <w:sz w:val="24"/>
        </w:rPr>
        <w:t>a unuia dintre susținătorii</w:t>
      </w:r>
      <w:r>
        <w:rPr>
          <w:spacing w:val="-3"/>
          <w:sz w:val="24"/>
        </w:rPr>
        <w:t xml:space="preserve"> </w:t>
      </w:r>
      <w:r>
        <w:rPr>
          <w:color w:val="202428"/>
          <w:sz w:val="24"/>
        </w:rPr>
        <w:t>legali;</w:t>
      </w:r>
    </w:p>
    <w:p w:rsidR="0016145A" w:rsidRPr="005804AC" w:rsidRDefault="0016145A" w:rsidP="0016145A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 w:line="237" w:lineRule="auto"/>
        <w:ind w:right="118"/>
        <w:jc w:val="both"/>
        <w:rPr>
          <w:rFonts w:ascii="Symbol" w:hAnsi="Symbol"/>
          <w:sz w:val="20"/>
        </w:rPr>
      </w:pPr>
      <w:r>
        <w:rPr>
          <w:color w:val="202428"/>
          <w:sz w:val="24"/>
        </w:rPr>
        <w:t>adeverință din care să rezulte calitatea de personal încadrat în Universitatea din Bucureș</w:t>
      </w:r>
      <w:r>
        <w:rPr>
          <w:sz w:val="24"/>
        </w:rPr>
        <w:t>ti pentru unul dintre susținătorii legali ai</w:t>
      </w:r>
      <w:r>
        <w:rPr>
          <w:spacing w:val="-3"/>
          <w:sz w:val="24"/>
        </w:rPr>
        <w:t xml:space="preserve"> </w:t>
      </w:r>
      <w:r w:rsidR="005804AC">
        <w:rPr>
          <w:sz w:val="24"/>
        </w:rPr>
        <w:t>candidatului;</w:t>
      </w:r>
    </w:p>
    <w:p w:rsidR="005804AC" w:rsidRPr="00FC1645" w:rsidRDefault="005804AC" w:rsidP="005804AC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6" w:line="237" w:lineRule="auto"/>
        <w:ind w:right="118"/>
        <w:jc w:val="both"/>
        <w:rPr>
          <w:rFonts w:ascii="Symbol" w:hAnsi="Symbol"/>
          <w:sz w:val="20"/>
        </w:rPr>
      </w:pPr>
      <w:r w:rsidRPr="00FC1645">
        <w:rPr>
          <w:sz w:val="24"/>
        </w:rPr>
        <w:t>candidații admiși cu mențiunea</w:t>
      </w:r>
      <w:r w:rsidRPr="00FC1645">
        <w:rPr>
          <w:spacing w:val="-3"/>
          <w:sz w:val="24"/>
        </w:rPr>
        <w:t xml:space="preserve"> </w:t>
      </w:r>
      <w:r w:rsidRPr="00FC1645">
        <w:rPr>
          <w:sz w:val="24"/>
        </w:rPr>
        <w:t>OLIMPIC.</w:t>
      </w:r>
    </w:p>
    <w:p w:rsidR="0016145A" w:rsidRDefault="0016145A" w:rsidP="0016145A">
      <w:pPr>
        <w:pStyle w:val="BodyText"/>
        <w:spacing w:before="1"/>
        <w:jc w:val="both"/>
      </w:pPr>
    </w:p>
    <w:p w:rsidR="0016145A" w:rsidRDefault="0016145A" w:rsidP="0016145A">
      <w:pPr>
        <w:pStyle w:val="Heading1"/>
        <w:ind w:left="820"/>
        <w:jc w:val="both"/>
        <w:rPr>
          <w:color w:val="202428"/>
          <w:u w:color="202428"/>
        </w:rPr>
      </w:pPr>
      <w:r>
        <w:rPr>
          <w:color w:val="202428"/>
          <w:u w:color="202428"/>
        </w:rPr>
        <w:t>Taxa se poate achita</w:t>
      </w:r>
    </w:p>
    <w:p w:rsidR="002F13CB" w:rsidRDefault="002F13CB" w:rsidP="0016145A">
      <w:pPr>
        <w:pStyle w:val="Heading1"/>
        <w:ind w:left="820"/>
        <w:jc w:val="both"/>
        <w:rPr>
          <w:u w:val="none"/>
        </w:rPr>
      </w:pPr>
    </w:p>
    <w:p w:rsidR="001A1D07" w:rsidRPr="001A1D07" w:rsidRDefault="0016145A" w:rsidP="0016145A">
      <w:pPr>
        <w:pStyle w:val="ListParagraph"/>
        <w:numPr>
          <w:ilvl w:val="1"/>
          <w:numId w:val="1"/>
        </w:numPr>
        <w:tabs>
          <w:tab w:val="left" w:pos="1516"/>
        </w:tabs>
        <w:spacing w:before="3"/>
        <w:ind w:left="1516"/>
        <w:jc w:val="both"/>
        <w:rPr>
          <w:rFonts w:ascii="Wingdings" w:hAnsi="Wingdings"/>
          <w:color w:val="202428"/>
          <w:sz w:val="24"/>
        </w:rPr>
      </w:pPr>
      <w:r>
        <w:rPr>
          <w:color w:val="202428"/>
          <w:sz w:val="24"/>
        </w:rPr>
        <w:t xml:space="preserve">la </w:t>
      </w:r>
      <w:r w:rsidRPr="00FC1645">
        <w:rPr>
          <w:color w:val="202428"/>
          <w:sz w:val="24"/>
        </w:rPr>
        <w:t xml:space="preserve">casieria </w:t>
      </w:r>
      <w:r w:rsidR="0092283D">
        <w:rPr>
          <w:color w:val="202428"/>
          <w:sz w:val="24"/>
        </w:rPr>
        <w:t xml:space="preserve">Universității din București, </w:t>
      </w:r>
      <w:r w:rsidR="00FC1645">
        <w:rPr>
          <w:color w:val="202428"/>
          <w:sz w:val="24"/>
        </w:rPr>
        <w:t>Șos. Panduri nr. 90-92</w:t>
      </w:r>
      <w:r w:rsidR="0092283D">
        <w:rPr>
          <w:color w:val="202428"/>
          <w:sz w:val="24"/>
        </w:rPr>
        <w:t xml:space="preserve">, </w:t>
      </w:r>
    </w:p>
    <w:p w:rsidR="001A1D07" w:rsidRDefault="001A1D07" w:rsidP="001A1D07">
      <w:pPr>
        <w:pStyle w:val="ListParagraph"/>
        <w:tabs>
          <w:tab w:val="left" w:pos="1516"/>
        </w:tabs>
        <w:spacing w:before="3"/>
        <w:ind w:left="1516" w:firstLine="0"/>
        <w:jc w:val="both"/>
        <w:rPr>
          <w:color w:val="202428"/>
          <w:sz w:val="24"/>
        </w:rPr>
      </w:pPr>
      <w:r>
        <w:rPr>
          <w:color w:val="202428"/>
          <w:sz w:val="24"/>
        </w:rPr>
        <w:tab/>
        <w:t>Luni – Vineri</w:t>
      </w:r>
      <w:r>
        <w:rPr>
          <w:color w:val="202428"/>
          <w:sz w:val="24"/>
        </w:rPr>
        <w:tab/>
      </w:r>
      <w:r>
        <w:rPr>
          <w:color w:val="202428"/>
          <w:sz w:val="24"/>
        </w:rPr>
        <w:tab/>
      </w:r>
      <w:r>
        <w:rPr>
          <w:color w:val="202428"/>
          <w:sz w:val="24"/>
        </w:rPr>
        <w:tab/>
        <w:t>9 – 14</w:t>
      </w:r>
    </w:p>
    <w:p w:rsidR="0016145A" w:rsidRDefault="001A1D07" w:rsidP="001A1D07">
      <w:pPr>
        <w:pStyle w:val="ListParagraph"/>
        <w:tabs>
          <w:tab w:val="left" w:pos="1516"/>
        </w:tabs>
        <w:spacing w:before="3"/>
        <w:ind w:left="1516" w:firstLine="0"/>
        <w:jc w:val="both"/>
        <w:rPr>
          <w:rFonts w:ascii="Wingdings" w:hAnsi="Wingdings"/>
          <w:color w:val="202428"/>
          <w:sz w:val="24"/>
        </w:rPr>
      </w:pPr>
      <w:r>
        <w:rPr>
          <w:color w:val="202428"/>
          <w:sz w:val="24"/>
        </w:rPr>
        <w:tab/>
        <w:t>Sâmbată – Duminică</w:t>
      </w:r>
      <w:r>
        <w:rPr>
          <w:color w:val="202428"/>
          <w:sz w:val="24"/>
        </w:rPr>
        <w:tab/>
      </w:r>
      <w:r w:rsidR="0092283D">
        <w:rPr>
          <w:color w:val="202428"/>
          <w:sz w:val="24"/>
        </w:rPr>
        <w:t>9</w:t>
      </w:r>
      <w:r>
        <w:rPr>
          <w:color w:val="202428"/>
          <w:sz w:val="24"/>
        </w:rPr>
        <w:t xml:space="preserve"> - </w:t>
      </w:r>
      <w:r w:rsidR="0092283D">
        <w:rPr>
          <w:color w:val="202428"/>
          <w:sz w:val="24"/>
        </w:rPr>
        <w:t xml:space="preserve">12 </w:t>
      </w:r>
    </w:p>
    <w:p w:rsidR="0016145A" w:rsidRDefault="0016145A" w:rsidP="0016145A">
      <w:pPr>
        <w:spacing w:line="318" w:lineRule="exact"/>
        <w:ind w:left="820"/>
        <w:jc w:val="both"/>
        <w:rPr>
          <w:b/>
          <w:sz w:val="24"/>
        </w:rPr>
      </w:pPr>
      <w:r>
        <w:rPr>
          <w:b/>
          <w:color w:val="202428"/>
          <w:sz w:val="24"/>
        </w:rPr>
        <w:t>sau</w:t>
      </w:r>
    </w:p>
    <w:p w:rsidR="001A1D07" w:rsidRPr="001A1D07" w:rsidRDefault="0016145A" w:rsidP="00074FC0">
      <w:pPr>
        <w:pStyle w:val="ListParagraph"/>
        <w:numPr>
          <w:ilvl w:val="1"/>
          <w:numId w:val="1"/>
        </w:numPr>
        <w:tabs>
          <w:tab w:val="left" w:pos="1516"/>
        </w:tabs>
        <w:spacing w:before="2"/>
        <w:jc w:val="both"/>
        <w:rPr>
          <w:rFonts w:ascii="Wingdings" w:hAnsi="Wingdings"/>
          <w:sz w:val="24"/>
        </w:rPr>
      </w:pPr>
      <w:r>
        <w:rPr>
          <w:color w:val="202428"/>
          <w:sz w:val="24"/>
        </w:rPr>
        <w:t>online completând formularul de la adresa</w:t>
      </w:r>
      <w:r w:rsidR="001A1D07">
        <w:rPr>
          <w:color w:val="0000FF"/>
          <w:spacing w:val="-12"/>
          <w:sz w:val="24"/>
        </w:rPr>
        <w:t xml:space="preserve"> </w:t>
      </w:r>
      <w:hyperlink r:id="rId8" w:history="1">
        <w:r w:rsidR="00074FC0" w:rsidRPr="00074FC0">
          <w:rPr>
            <w:rStyle w:val="Hyperlink"/>
            <w:spacing w:val="-12"/>
            <w:sz w:val="24"/>
          </w:rPr>
          <w:t>https://po.unibuc.ro/admitere.php</w:t>
        </w:r>
      </w:hyperlink>
    </w:p>
    <w:p w:rsidR="0016145A" w:rsidRPr="0016145A" w:rsidRDefault="0016145A" w:rsidP="0016145A">
      <w:pPr>
        <w:pStyle w:val="ListParagraph"/>
        <w:ind w:firstLine="0"/>
        <w:jc w:val="both"/>
        <w:rPr>
          <w:b/>
          <w:sz w:val="24"/>
        </w:rPr>
      </w:pPr>
      <w:r w:rsidRPr="0016145A">
        <w:rPr>
          <w:b/>
          <w:sz w:val="24"/>
        </w:rPr>
        <w:t>sau</w:t>
      </w:r>
    </w:p>
    <w:p w:rsidR="00FC1645" w:rsidRPr="00FC1645" w:rsidRDefault="0016145A" w:rsidP="00FC1645">
      <w:pPr>
        <w:pStyle w:val="ListParagraph"/>
        <w:numPr>
          <w:ilvl w:val="1"/>
          <w:numId w:val="1"/>
        </w:numPr>
        <w:tabs>
          <w:tab w:val="left" w:pos="1516"/>
        </w:tabs>
        <w:spacing w:before="2"/>
        <w:ind w:left="1516"/>
        <w:jc w:val="both"/>
        <w:rPr>
          <w:sz w:val="24"/>
        </w:rPr>
      </w:pPr>
      <w:r w:rsidRPr="00DC3396">
        <w:rPr>
          <w:rFonts w:eastAsia="Times New Roman"/>
          <w:sz w:val="24"/>
        </w:rPr>
        <w:t xml:space="preserve">prin transfer bancar în contul deschis de Universitatea din București (cod fiscal </w:t>
      </w:r>
      <w:r w:rsidRPr="00DC3396">
        <w:rPr>
          <w:rFonts w:eastAsia="Times New Roman"/>
          <w:b/>
          <w:sz w:val="24"/>
        </w:rPr>
        <w:t>4505502</w:t>
      </w:r>
      <w:r w:rsidRPr="00DC3396">
        <w:rPr>
          <w:rFonts w:eastAsia="Times New Roman"/>
          <w:sz w:val="24"/>
        </w:rPr>
        <w:t xml:space="preserve">) la Banca Comercială Română sector 5, Cod IBAN </w:t>
      </w:r>
      <w:r w:rsidRPr="0016145A">
        <w:rPr>
          <w:rFonts w:eastAsia="Times New Roman"/>
          <w:b/>
          <w:bCs/>
          <w:i/>
          <w:iCs/>
          <w:color w:val="000000" w:themeColor="text1"/>
          <w:szCs w:val="14"/>
          <w:shd w:val="clear" w:color="auto" w:fill="FFFFFF"/>
        </w:rPr>
        <w:t>RO92RNCB0076010452620301</w:t>
      </w:r>
      <w:r w:rsidRPr="00DC3396">
        <w:rPr>
          <w:rFonts w:eastAsia="Times New Roman"/>
          <w:sz w:val="24"/>
        </w:rPr>
        <w:t xml:space="preserve">, cu explicația „Taxă de înscriere admitere FIUB </w:t>
      </w:r>
      <w:r w:rsidR="00074FC0">
        <w:rPr>
          <w:rFonts w:eastAsia="Times New Roman"/>
          <w:sz w:val="24"/>
        </w:rPr>
        <w:t>licență</w:t>
      </w:r>
      <w:r w:rsidRPr="00DC3396">
        <w:rPr>
          <w:rFonts w:eastAsia="Times New Roman"/>
          <w:sz w:val="24"/>
        </w:rPr>
        <w:t xml:space="preserve"> iulie 202</w:t>
      </w:r>
      <w:r w:rsidR="0022624C">
        <w:rPr>
          <w:rFonts w:eastAsia="Times New Roman"/>
          <w:sz w:val="24"/>
        </w:rPr>
        <w:t>1</w:t>
      </w:r>
      <w:r w:rsidRPr="00DC3396">
        <w:rPr>
          <w:rFonts w:eastAsia="Times New Roman"/>
          <w:sz w:val="24"/>
        </w:rPr>
        <w:t>”</w:t>
      </w:r>
      <w:r w:rsidR="00FC1645">
        <w:rPr>
          <w:rFonts w:eastAsia="Times New Roman"/>
          <w:sz w:val="24"/>
        </w:rPr>
        <w:t>;</w:t>
      </w:r>
    </w:p>
    <w:p w:rsidR="002F13CB" w:rsidRPr="002F13CB" w:rsidRDefault="00FC1645" w:rsidP="00FC1645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FC1645">
        <w:rPr>
          <w:sz w:val="24"/>
        </w:rPr>
        <w:t xml:space="preserve"> </w:t>
      </w:r>
    </w:p>
    <w:p w:rsidR="0016145A" w:rsidRPr="009031AA" w:rsidRDefault="0016145A" w:rsidP="0016145A">
      <w:pPr>
        <w:pStyle w:val="Heading1"/>
        <w:spacing w:before="211"/>
        <w:jc w:val="both"/>
        <w:rPr>
          <w:color w:val="00B0F0"/>
          <w:u w:color="00B04F"/>
        </w:rPr>
      </w:pPr>
      <w:r w:rsidRPr="009031AA">
        <w:rPr>
          <w:color w:val="00B0F0"/>
          <w:u w:color="00B04F"/>
        </w:rPr>
        <w:t>Chitanța/dovada privind achitarea taxei de admitere se include în dosarul de înscriere.</w:t>
      </w:r>
    </w:p>
    <w:p w:rsidR="0016145A" w:rsidRDefault="0016145A" w:rsidP="001A1D07">
      <w:pPr>
        <w:pStyle w:val="Heading1"/>
        <w:spacing w:before="211"/>
        <w:ind w:left="0"/>
        <w:jc w:val="both"/>
        <w:rPr>
          <w:color w:val="00B04F"/>
          <w:u w:color="00B04F"/>
        </w:rPr>
      </w:pPr>
    </w:p>
    <w:p w:rsidR="0016145A" w:rsidRDefault="0016145A" w:rsidP="0016145A">
      <w:pPr>
        <w:pStyle w:val="Heading1"/>
        <w:spacing w:before="211"/>
        <w:jc w:val="both"/>
      </w:pPr>
      <w:r w:rsidRPr="0016145A">
        <w:lastRenderedPageBreak/>
        <w:t>TAXA DE CONFIRMARE LOC</w:t>
      </w:r>
    </w:p>
    <w:p w:rsidR="0016145A" w:rsidRDefault="0016145A" w:rsidP="0016145A">
      <w:pPr>
        <w:pStyle w:val="Heading1"/>
        <w:spacing w:before="211"/>
        <w:jc w:val="both"/>
      </w:pPr>
    </w:p>
    <w:p w:rsidR="0016145A" w:rsidRPr="00405FB5" w:rsidRDefault="0016145A" w:rsidP="00B35455">
      <w:pPr>
        <w:pStyle w:val="BodyText"/>
        <w:spacing w:line="360" w:lineRule="auto"/>
        <w:ind w:right="120" w:firstLine="720"/>
        <w:jc w:val="both"/>
        <w:rPr>
          <w:highlight w:val="yellow"/>
        </w:rPr>
      </w:pPr>
      <w:r>
        <w:t xml:space="preserve">Candidații, care întrunesc condițiile de admitere și </w:t>
      </w:r>
      <w:r w:rsidR="009031AA">
        <w:t>optează pentru a ocupa</w:t>
      </w:r>
      <w:r>
        <w:t xml:space="preserve"> un loc cu taxă, trebuie să achite o taxă de confirmare a locului, în perioada prevăzută în calendarul admiterii.</w:t>
      </w:r>
    </w:p>
    <w:p w:rsidR="0016145A" w:rsidRPr="001A1D07" w:rsidRDefault="0016145A" w:rsidP="00A171D7">
      <w:pPr>
        <w:pStyle w:val="BodyText"/>
        <w:spacing w:before="145" w:line="360" w:lineRule="auto"/>
        <w:ind w:right="121" w:firstLine="720"/>
        <w:jc w:val="both"/>
      </w:pPr>
      <w:r>
        <w:t xml:space="preserve">Taxa de confirmare a locului se poate plăti prin transfer bancar în contul </w:t>
      </w:r>
      <w:r w:rsidR="00A171D7" w:rsidRPr="00A171D7">
        <w:rPr>
          <w:rFonts w:eastAsia="Times New Roman"/>
        </w:rPr>
        <w:t xml:space="preserve">deschis de Universitatea din București (cod fiscal </w:t>
      </w:r>
      <w:r w:rsidR="00A171D7" w:rsidRPr="00A171D7">
        <w:rPr>
          <w:rFonts w:eastAsia="Times New Roman"/>
          <w:b/>
        </w:rPr>
        <w:t>4505502</w:t>
      </w:r>
      <w:r w:rsidR="00A171D7" w:rsidRPr="00A171D7">
        <w:rPr>
          <w:rFonts w:eastAsia="Times New Roman"/>
        </w:rPr>
        <w:t xml:space="preserve">) la Banca Comercială Română sector 5, Cod IBAN </w:t>
      </w:r>
      <w:r w:rsidR="00A171D7" w:rsidRPr="00A171D7">
        <w:rPr>
          <w:rFonts w:eastAsia="Times New Roman"/>
          <w:b/>
          <w:bCs/>
          <w:i/>
          <w:iCs/>
          <w:color w:val="000000" w:themeColor="text1"/>
          <w:szCs w:val="14"/>
          <w:shd w:val="clear" w:color="auto" w:fill="FFFFFF"/>
        </w:rPr>
        <w:t>RO92RNCB0076010452620301</w:t>
      </w:r>
      <w:r w:rsidR="00A171D7">
        <w:rPr>
          <w:rFonts w:eastAsia="Times New Roman"/>
        </w:rPr>
        <w:t xml:space="preserve">, cu explicația „Taxă confirmare loc - </w:t>
      </w:r>
      <w:r w:rsidR="00A171D7" w:rsidRPr="00A171D7">
        <w:rPr>
          <w:rFonts w:eastAsia="Times New Roman"/>
        </w:rPr>
        <w:t>FIUB licență 202</w:t>
      </w:r>
      <w:r w:rsidR="0022624C">
        <w:rPr>
          <w:rFonts w:eastAsia="Times New Roman"/>
        </w:rPr>
        <w:t>1</w:t>
      </w:r>
      <w:r w:rsidR="00A171D7" w:rsidRPr="00A171D7">
        <w:rPr>
          <w:rFonts w:eastAsia="Times New Roman"/>
        </w:rPr>
        <w:t>”</w:t>
      </w:r>
      <w:r w:rsidR="00A171D7">
        <w:rPr>
          <w:rFonts w:eastAsia="Times New Roman"/>
        </w:rPr>
        <w:t xml:space="preserve"> </w:t>
      </w:r>
      <w:r w:rsidR="001A1D07" w:rsidRPr="00A171D7">
        <w:rPr>
          <w:b/>
          <w:sz w:val="28"/>
        </w:rPr>
        <w:t>sau</w:t>
      </w:r>
      <w:r w:rsidR="001A1D07">
        <w:t xml:space="preserve"> online la adresa </w:t>
      </w:r>
      <w:hyperlink r:id="rId9" w:history="1">
        <w:r w:rsidR="00074FC0" w:rsidRPr="00074FC0">
          <w:rPr>
            <w:rStyle w:val="Hyperlink"/>
          </w:rPr>
          <w:t>https://po.unibuc.ro/studiu_licenta.php</w:t>
        </w:r>
      </w:hyperlink>
    </w:p>
    <w:p w:rsidR="00B012F0" w:rsidRDefault="00B012F0" w:rsidP="009031AA">
      <w:pPr>
        <w:pStyle w:val="BodyText"/>
        <w:spacing w:before="90" w:line="360" w:lineRule="auto"/>
        <w:ind w:firstLine="720"/>
        <w:jc w:val="both"/>
      </w:pPr>
      <w:r>
        <w:t>Taxa de confirmare a locului cu taxă la admiterea 202</w:t>
      </w:r>
      <w:r w:rsidR="0022624C">
        <w:t>1</w:t>
      </w:r>
      <w:r>
        <w:t xml:space="preserve"> este de </w:t>
      </w:r>
      <w:r>
        <w:rPr>
          <w:b/>
        </w:rPr>
        <w:t xml:space="preserve">500 RON </w:t>
      </w:r>
      <w:r>
        <w:t>pentru fiecare specializare de licență la care candidatul dorește să fie declarat „</w:t>
      </w:r>
      <w:r>
        <w:rPr>
          <w:i/>
        </w:rPr>
        <w:t>admis</w:t>
      </w:r>
      <w:r>
        <w:t xml:space="preserve">”. Prin excepție, candidatul care dorește să participe la distribuirea pe locurile cu taxă de la mai multe </w:t>
      </w:r>
      <w:r w:rsidR="009031AA">
        <w:t>specializări/programe</w:t>
      </w:r>
      <w:r>
        <w:t xml:space="preserve"> de licență, la care întrunește condițiile de admitere, dar care, în final, dorește să fie declarat „</w:t>
      </w:r>
      <w:r>
        <w:rPr>
          <w:i/>
        </w:rPr>
        <w:t>admis</w:t>
      </w:r>
      <w:r>
        <w:t xml:space="preserve">” doar la unul dintre acestea, poate achita </w:t>
      </w:r>
      <w:r w:rsidRPr="009031AA">
        <w:rPr>
          <w:color w:val="00B0F0"/>
        </w:rPr>
        <w:t>doar o singură dat</w:t>
      </w:r>
      <w:r w:rsidR="00B35455">
        <w:rPr>
          <w:color w:val="00B0F0"/>
        </w:rPr>
        <w:t>ă</w:t>
      </w:r>
      <w:r w:rsidRPr="009031AA">
        <w:rPr>
          <w:color w:val="00B0F0"/>
        </w:rPr>
        <w:t xml:space="preserve"> </w:t>
      </w:r>
      <w:r>
        <w:t>taxa de confirmare a locului.</w:t>
      </w:r>
    </w:p>
    <w:p w:rsidR="0092283D" w:rsidRDefault="0092283D" w:rsidP="0092283D">
      <w:pPr>
        <w:pStyle w:val="Heading1"/>
        <w:spacing w:before="211"/>
        <w:jc w:val="both"/>
        <w:rPr>
          <w:color w:val="00B04F"/>
          <w:u w:color="00B04F"/>
        </w:rPr>
      </w:pPr>
      <w:r w:rsidRPr="009031AA">
        <w:rPr>
          <w:color w:val="00B0F0"/>
          <w:u w:color="00B04F"/>
        </w:rPr>
        <w:t>Chitanța privind achitarea taxei de confirmare a locului se transmite OBLIGATORIU la adresa de email secretariat@istorie.unibuc.ro.</w:t>
      </w:r>
    </w:p>
    <w:p w:rsidR="0016145A" w:rsidRDefault="0016145A" w:rsidP="0092283D">
      <w:pPr>
        <w:pStyle w:val="BodyText"/>
        <w:spacing w:before="90" w:line="276" w:lineRule="auto"/>
        <w:jc w:val="both"/>
      </w:pPr>
    </w:p>
    <w:p w:rsidR="0016145A" w:rsidRPr="0016145A" w:rsidRDefault="0016145A" w:rsidP="0016145A">
      <w:pPr>
        <w:pStyle w:val="BodyText"/>
        <w:ind w:firstLine="468"/>
        <w:jc w:val="both"/>
        <w:rPr>
          <w:u w:val="single"/>
        </w:rPr>
      </w:pPr>
      <w:r w:rsidRPr="0016145A">
        <w:rPr>
          <w:u w:val="single"/>
        </w:rPr>
        <w:t>Taxa de confirmarea a locului nu este o taxă propriu-zisă, ci un avans din taxa de studii pentru semestrul I a anului universitar 202</w:t>
      </w:r>
      <w:r w:rsidR="0022624C">
        <w:rPr>
          <w:u w:val="single"/>
        </w:rPr>
        <w:t>1</w:t>
      </w:r>
      <w:r w:rsidRPr="0016145A">
        <w:rPr>
          <w:u w:val="single"/>
        </w:rPr>
        <w:t>-202</w:t>
      </w:r>
      <w:r w:rsidR="0022624C">
        <w:rPr>
          <w:u w:val="single"/>
        </w:rPr>
        <w:t>2</w:t>
      </w:r>
      <w:r w:rsidRPr="0016145A">
        <w:rPr>
          <w:u w:val="single"/>
        </w:rPr>
        <w:t xml:space="preserve">. </w:t>
      </w:r>
    </w:p>
    <w:p w:rsidR="0016145A" w:rsidRPr="0016145A" w:rsidRDefault="0016145A" w:rsidP="0016145A">
      <w:pPr>
        <w:pStyle w:val="Heading1"/>
        <w:ind w:left="0" w:right="3770"/>
        <w:jc w:val="both"/>
        <w:rPr>
          <w:sz w:val="36"/>
        </w:rPr>
      </w:pPr>
    </w:p>
    <w:p w:rsidR="0016145A" w:rsidRDefault="0016145A" w:rsidP="0016145A">
      <w:pPr>
        <w:pStyle w:val="BodyText"/>
        <w:jc w:val="both"/>
        <w:rPr>
          <w:b/>
        </w:rPr>
      </w:pPr>
    </w:p>
    <w:p w:rsidR="0016145A" w:rsidRDefault="0016145A" w:rsidP="0016145A">
      <w:pPr>
        <w:ind w:left="10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TAXA DE ȘCOLARIZARE:</w:t>
      </w:r>
    </w:p>
    <w:p w:rsidR="0016145A" w:rsidRDefault="0016145A" w:rsidP="0016145A">
      <w:pPr>
        <w:ind w:left="100"/>
        <w:jc w:val="both"/>
        <w:rPr>
          <w:b/>
          <w:sz w:val="24"/>
        </w:rPr>
      </w:pPr>
    </w:p>
    <w:p w:rsidR="0016145A" w:rsidRDefault="0016145A" w:rsidP="0016145A">
      <w:pPr>
        <w:pStyle w:val="BodyText"/>
        <w:spacing w:before="2"/>
        <w:ind w:left="805"/>
        <w:jc w:val="both"/>
        <w:rPr>
          <w:b/>
        </w:rPr>
      </w:pPr>
      <w:r>
        <w:rPr>
          <w:color w:val="1C2127"/>
        </w:rPr>
        <w:t xml:space="preserve">Taxa de școlarizare pentru locurile cu taxă: </w:t>
      </w:r>
      <w:r>
        <w:rPr>
          <w:b/>
          <w:color w:val="1C2127"/>
        </w:rPr>
        <w:t>3.500 lei/an</w:t>
      </w:r>
    </w:p>
    <w:p w:rsidR="0016145A" w:rsidRPr="0016145A" w:rsidRDefault="0016145A" w:rsidP="0016145A">
      <w:pPr>
        <w:jc w:val="both"/>
      </w:pPr>
    </w:p>
    <w:sectPr w:rsidR="0016145A" w:rsidRPr="0016145A" w:rsidSect="00542F98">
      <w:headerReference w:type="default" r:id="rId10"/>
      <w:pgSz w:w="11907" w:h="16839" w:code="9"/>
      <w:pgMar w:top="1440" w:right="657" w:bottom="5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12" w:rsidRDefault="001F7512" w:rsidP="00F93990">
      <w:r>
        <w:separator/>
      </w:r>
    </w:p>
  </w:endnote>
  <w:endnote w:type="continuationSeparator" w:id="0">
    <w:p w:rsidR="001F7512" w:rsidRDefault="001F7512" w:rsidP="00F9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12" w:rsidRDefault="001F7512" w:rsidP="00F93990">
      <w:r>
        <w:separator/>
      </w:r>
    </w:p>
  </w:footnote>
  <w:footnote w:type="continuationSeparator" w:id="0">
    <w:p w:rsidR="001F7512" w:rsidRDefault="001F7512" w:rsidP="00F9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90" w:rsidRDefault="00F93990" w:rsidP="00E73CF2">
    <w:pPr>
      <w:pStyle w:val="Header"/>
      <w:tabs>
        <w:tab w:val="clear" w:pos="9360"/>
      </w:tabs>
      <w:ind w:left="-1440"/>
    </w:pPr>
    <w:r>
      <w:rPr>
        <w:noProof/>
        <w:lang w:val="ro-RO" w:bidi="ar-SA"/>
      </w:rPr>
      <w:drawing>
        <wp:inline distT="0" distB="0" distL="0" distR="0">
          <wp:extent cx="7553325" cy="1962150"/>
          <wp:effectExtent l="0" t="0" r="0" b="0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NTABILITATE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685" cy="196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130"/>
    <w:multiLevelType w:val="hybridMultilevel"/>
    <w:tmpl w:val="95BCE0BE"/>
    <w:lvl w:ilvl="0" w:tplc="FBAEFD18">
      <w:start w:val="1"/>
      <w:numFmt w:val="lowerLetter"/>
      <w:lvlText w:val="%1)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o-RO" w:eastAsia="en-US" w:bidi="ar-SA"/>
      </w:rPr>
    </w:lvl>
    <w:lvl w:ilvl="1" w:tplc="30D23188">
      <w:start w:val="1"/>
      <w:numFmt w:val="lowerLetter"/>
      <w:lvlText w:val="%2."/>
      <w:lvlJc w:val="left"/>
      <w:pPr>
        <w:ind w:left="1188" w:hanging="35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o-RO" w:eastAsia="en-US" w:bidi="ar-SA"/>
      </w:rPr>
    </w:lvl>
    <w:lvl w:ilvl="2" w:tplc="8856D722">
      <w:numFmt w:val="bullet"/>
      <w:lvlText w:val="●"/>
      <w:lvlJc w:val="left"/>
      <w:pPr>
        <w:ind w:left="1908" w:hanging="35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o-RO" w:eastAsia="en-US" w:bidi="ar-SA"/>
      </w:rPr>
    </w:lvl>
    <w:lvl w:ilvl="3" w:tplc="ADFC5280">
      <w:numFmt w:val="bullet"/>
      <w:lvlText w:val="•"/>
      <w:lvlJc w:val="left"/>
      <w:pPr>
        <w:ind w:left="2861" w:hanging="358"/>
      </w:pPr>
      <w:rPr>
        <w:rFonts w:hint="default"/>
        <w:lang w:val="ro-RO" w:eastAsia="en-US" w:bidi="ar-SA"/>
      </w:rPr>
    </w:lvl>
    <w:lvl w:ilvl="4" w:tplc="62D4E3B6">
      <w:numFmt w:val="bullet"/>
      <w:lvlText w:val="•"/>
      <w:lvlJc w:val="left"/>
      <w:pPr>
        <w:ind w:left="3822" w:hanging="358"/>
      </w:pPr>
      <w:rPr>
        <w:rFonts w:hint="default"/>
        <w:lang w:val="ro-RO" w:eastAsia="en-US" w:bidi="ar-SA"/>
      </w:rPr>
    </w:lvl>
    <w:lvl w:ilvl="5" w:tplc="74F20BD8">
      <w:numFmt w:val="bullet"/>
      <w:lvlText w:val="•"/>
      <w:lvlJc w:val="left"/>
      <w:pPr>
        <w:ind w:left="4783" w:hanging="358"/>
      </w:pPr>
      <w:rPr>
        <w:rFonts w:hint="default"/>
        <w:lang w:val="ro-RO" w:eastAsia="en-US" w:bidi="ar-SA"/>
      </w:rPr>
    </w:lvl>
    <w:lvl w:ilvl="6" w:tplc="D5EC478A">
      <w:numFmt w:val="bullet"/>
      <w:lvlText w:val="•"/>
      <w:lvlJc w:val="left"/>
      <w:pPr>
        <w:ind w:left="5744" w:hanging="358"/>
      </w:pPr>
      <w:rPr>
        <w:rFonts w:hint="default"/>
        <w:lang w:val="ro-RO" w:eastAsia="en-US" w:bidi="ar-SA"/>
      </w:rPr>
    </w:lvl>
    <w:lvl w:ilvl="7" w:tplc="D5860158">
      <w:numFmt w:val="bullet"/>
      <w:lvlText w:val="•"/>
      <w:lvlJc w:val="left"/>
      <w:pPr>
        <w:ind w:left="6705" w:hanging="358"/>
      </w:pPr>
      <w:rPr>
        <w:rFonts w:hint="default"/>
        <w:lang w:val="ro-RO" w:eastAsia="en-US" w:bidi="ar-SA"/>
      </w:rPr>
    </w:lvl>
    <w:lvl w:ilvl="8" w:tplc="03206150">
      <w:numFmt w:val="bullet"/>
      <w:lvlText w:val="•"/>
      <w:lvlJc w:val="left"/>
      <w:pPr>
        <w:ind w:left="7666" w:hanging="358"/>
      </w:pPr>
      <w:rPr>
        <w:rFonts w:hint="default"/>
        <w:lang w:val="ro-RO" w:eastAsia="en-US" w:bidi="ar-SA"/>
      </w:rPr>
    </w:lvl>
  </w:abstractNum>
  <w:abstractNum w:abstractNumId="1">
    <w:nsid w:val="22595BB0"/>
    <w:multiLevelType w:val="hybridMultilevel"/>
    <w:tmpl w:val="FF561252"/>
    <w:lvl w:ilvl="0" w:tplc="B978A748">
      <w:numFmt w:val="bullet"/>
      <w:lvlText w:val=""/>
      <w:lvlJc w:val="left"/>
      <w:pPr>
        <w:ind w:left="810" w:hanging="360"/>
      </w:pPr>
      <w:rPr>
        <w:rFonts w:hint="default"/>
        <w:w w:val="100"/>
        <w:lang w:val="ro-RO" w:eastAsia="ro-RO" w:bidi="ro-RO"/>
      </w:rPr>
    </w:lvl>
    <w:lvl w:ilvl="1" w:tplc="0409000B">
      <w:start w:val="1"/>
      <w:numFmt w:val="bullet"/>
      <w:lvlText w:val=""/>
      <w:lvlJc w:val="left"/>
      <w:pPr>
        <w:ind w:left="1776" w:hanging="336"/>
      </w:pPr>
      <w:rPr>
        <w:rFonts w:ascii="Wingdings" w:hAnsi="Wingdings" w:hint="default"/>
        <w:w w:val="100"/>
        <w:lang w:val="ro-RO" w:eastAsia="ro-RO" w:bidi="ro-RO"/>
      </w:rPr>
    </w:lvl>
    <w:lvl w:ilvl="2" w:tplc="2C30B4C6">
      <w:numFmt w:val="bullet"/>
      <w:lvlText w:val="•"/>
      <w:lvlJc w:val="left"/>
      <w:pPr>
        <w:ind w:left="2555" w:hanging="336"/>
      </w:pPr>
      <w:rPr>
        <w:rFonts w:hint="default"/>
        <w:lang w:val="ro-RO" w:eastAsia="ro-RO" w:bidi="ro-RO"/>
      </w:rPr>
    </w:lvl>
    <w:lvl w:ilvl="3" w:tplc="8EB8CE70">
      <w:numFmt w:val="bullet"/>
      <w:lvlText w:val="•"/>
      <w:lvlJc w:val="left"/>
      <w:pPr>
        <w:ind w:left="3571" w:hanging="336"/>
      </w:pPr>
      <w:rPr>
        <w:rFonts w:hint="default"/>
        <w:lang w:val="ro-RO" w:eastAsia="ro-RO" w:bidi="ro-RO"/>
      </w:rPr>
    </w:lvl>
    <w:lvl w:ilvl="4" w:tplc="1D3CDDCE">
      <w:numFmt w:val="bullet"/>
      <w:lvlText w:val="•"/>
      <w:lvlJc w:val="left"/>
      <w:pPr>
        <w:ind w:left="4586" w:hanging="336"/>
      </w:pPr>
      <w:rPr>
        <w:rFonts w:hint="default"/>
        <w:lang w:val="ro-RO" w:eastAsia="ro-RO" w:bidi="ro-RO"/>
      </w:rPr>
    </w:lvl>
    <w:lvl w:ilvl="5" w:tplc="A832033C">
      <w:numFmt w:val="bullet"/>
      <w:lvlText w:val="•"/>
      <w:lvlJc w:val="left"/>
      <w:pPr>
        <w:ind w:left="5602" w:hanging="336"/>
      </w:pPr>
      <w:rPr>
        <w:rFonts w:hint="default"/>
        <w:lang w:val="ro-RO" w:eastAsia="ro-RO" w:bidi="ro-RO"/>
      </w:rPr>
    </w:lvl>
    <w:lvl w:ilvl="6" w:tplc="6BFAACB2">
      <w:numFmt w:val="bullet"/>
      <w:lvlText w:val="•"/>
      <w:lvlJc w:val="left"/>
      <w:pPr>
        <w:ind w:left="6617" w:hanging="336"/>
      </w:pPr>
      <w:rPr>
        <w:rFonts w:hint="default"/>
        <w:lang w:val="ro-RO" w:eastAsia="ro-RO" w:bidi="ro-RO"/>
      </w:rPr>
    </w:lvl>
    <w:lvl w:ilvl="7" w:tplc="B5F05966">
      <w:numFmt w:val="bullet"/>
      <w:lvlText w:val="•"/>
      <w:lvlJc w:val="left"/>
      <w:pPr>
        <w:ind w:left="7633" w:hanging="336"/>
      </w:pPr>
      <w:rPr>
        <w:rFonts w:hint="default"/>
        <w:lang w:val="ro-RO" w:eastAsia="ro-RO" w:bidi="ro-RO"/>
      </w:rPr>
    </w:lvl>
    <w:lvl w:ilvl="8" w:tplc="37B4458C">
      <w:numFmt w:val="bullet"/>
      <w:lvlText w:val="•"/>
      <w:lvlJc w:val="left"/>
      <w:pPr>
        <w:ind w:left="8648" w:hanging="336"/>
      </w:pPr>
      <w:rPr>
        <w:rFonts w:hint="default"/>
        <w:lang w:val="ro-RO" w:eastAsia="ro-RO" w:bidi="ro-RO"/>
      </w:rPr>
    </w:lvl>
  </w:abstractNum>
  <w:abstractNum w:abstractNumId="2">
    <w:nsid w:val="75620419"/>
    <w:multiLevelType w:val="hybridMultilevel"/>
    <w:tmpl w:val="DB3E57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3990"/>
    <w:rsid w:val="00044083"/>
    <w:rsid w:val="00056676"/>
    <w:rsid w:val="00074FC0"/>
    <w:rsid w:val="00093F44"/>
    <w:rsid w:val="00095BF6"/>
    <w:rsid w:val="00096C4C"/>
    <w:rsid w:val="000F15D7"/>
    <w:rsid w:val="000F3DD1"/>
    <w:rsid w:val="001048D6"/>
    <w:rsid w:val="0011439F"/>
    <w:rsid w:val="00126F18"/>
    <w:rsid w:val="001337F6"/>
    <w:rsid w:val="0014051D"/>
    <w:rsid w:val="00141968"/>
    <w:rsid w:val="00142A48"/>
    <w:rsid w:val="00153CF3"/>
    <w:rsid w:val="0016145A"/>
    <w:rsid w:val="00174481"/>
    <w:rsid w:val="001A1D07"/>
    <w:rsid w:val="001A6BE2"/>
    <w:rsid w:val="001B4E58"/>
    <w:rsid w:val="001D41AA"/>
    <w:rsid w:val="001E6CD1"/>
    <w:rsid w:val="001E784C"/>
    <w:rsid w:val="001F7512"/>
    <w:rsid w:val="0022624C"/>
    <w:rsid w:val="00247412"/>
    <w:rsid w:val="00261AD1"/>
    <w:rsid w:val="00267451"/>
    <w:rsid w:val="00271E9F"/>
    <w:rsid w:val="002B535E"/>
    <w:rsid w:val="002C56F6"/>
    <w:rsid w:val="002D56B6"/>
    <w:rsid w:val="002F13CB"/>
    <w:rsid w:val="00322D52"/>
    <w:rsid w:val="00353170"/>
    <w:rsid w:val="00362C00"/>
    <w:rsid w:val="00374545"/>
    <w:rsid w:val="00396420"/>
    <w:rsid w:val="003A4A99"/>
    <w:rsid w:val="003B0C8A"/>
    <w:rsid w:val="003F2F14"/>
    <w:rsid w:val="00507DEF"/>
    <w:rsid w:val="00521F93"/>
    <w:rsid w:val="00542F98"/>
    <w:rsid w:val="00543079"/>
    <w:rsid w:val="00564FD8"/>
    <w:rsid w:val="005804AC"/>
    <w:rsid w:val="005842FB"/>
    <w:rsid w:val="005D118B"/>
    <w:rsid w:val="00620C5E"/>
    <w:rsid w:val="006221A7"/>
    <w:rsid w:val="00634391"/>
    <w:rsid w:val="00666355"/>
    <w:rsid w:val="00676D93"/>
    <w:rsid w:val="00687F1A"/>
    <w:rsid w:val="006A0E6C"/>
    <w:rsid w:val="006E7D4C"/>
    <w:rsid w:val="007417F7"/>
    <w:rsid w:val="00773F01"/>
    <w:rsid w:val="00792B66"/>
    <w:rsid w:val="007A6482"/>
    <w:rsid w:val="007B7151"/>
    <w:rsid w:val="007C00FB"/>
    <w:rsid w:val="00803E70"/>
    <w:rsid w:val="00813B15"/>
    <w:rsid w:val="0087750A"/>
    <w:rsid w:val="008B4324"/>
    <w:rsid w:val="008B67D0"/>
    <w:rsid w:val="008E104E"/>
    <w:rsid w:val="008E275B"/>
    <w:rsid w:val="00900DE1"/>
    <w:rsid w:val="009031AA"/>
    <w:rsid w:val="00907F17"/>
    <w:rsid w:val="0092283D"/>
    <w:rsid w:val="00A171D7"/>
    <w:rsid w:val="00A344B2"/>
    <w:rsid w:val="00A84D79"/>
    <w:rsid w:val="00AC378B"/>
    <w:rsid w:val="00AC6D70"/>
    <w:rsid w:val="00AE7948"/>
    <w:rsid w:val="00AF0D32"/>
    <w:rsid w:val="00B012F0"/>
    <w:rsid w:val="00B2110C"/>
    <w:rsid w:val="00B35455"/>
    <w:rsid w:val="00B453A0"/>
    <w:rsid w:val="00B75171"/>
    <w:rsid w:val="00B7782E"/>
    <w:rsid w:val="00B9313C"/>
    <w:rsid w:val="00BD02B7"/>
    <w:rsid w:val="00BE1EDE"/>
    <w:rsid w:val="00C0064E"/>
    <w:rsid w:val="00CA2815"/>
    <w:rsid w:val="00CD71BF"/>
    <w:rsid w:val="00CE0BA6"/>
    <w:rsid w:val="00D25CD3"/>
    <w:rsid w:val="00D375B9"/>
    <w:rsid w:val="00D54A83"/>
    <w:rsid w:val="00D83665"/>
    <w:rsid w:val="00DA086B"/>
    <w:rsid w:val="00DB2584"/>
    <w:rsid w:val="00DC08AE"/>
    <w:rsid w:val="00E00555"/>
    <w:rsid w:val="00E34BA2"/>
    <w:rsid w:val="00E3627E"/>
    <w:rsid w:val="00E42E92"/>
    <w:rsid w:val="00E67170"/>
    <w:rsid w:val="00E73CF2"/>
    <w:rsid w:val="00E83C8F"/>
    <w:rsid w:val="00EA0538"/>
    <w:rsid w:val="00EC7542"/>
    <w:rsid w:val="00EF4A4C"/>
    <w:rsid w:val="00F02FBC"/>
    <w:rsid w:val="00F43F96"/>
    <w:rsid w:val="00F612F6"/>
    <w:rsid w:val="00F76312"/>
    <w:rsid w:val="00F863D8"/>
    <w:rsid w:val="00F93990"/>
    <w:rsid w:val="00FC1645"/>
    <w:rsid w:val="00FC7E60"/>
    <w:rsid w:val="00FE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145A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ro-RO" w:eastAsia="ro-RO" w:bidi="ro-RO"/>
    </w:rPr>
  </w:style>
  <w:style w:type="paragraph" w:styleId="Heading1">
    <w:name w:val="heading 1"/>
    <w:basedOn w:val="Normal"/>
    <w:link w:val="Heading1Char"/>
    <w:uiPriority w:val="1"/>
    <w:qFormat/>
    <w:rsid w:val="0016145A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6145A"/>
    <w:rPr>
      <w:rFonts w:ascii="Segoe UI" w:eastAsia="Segoe UI" w:hAnsi="Segoe UI" w:cs="Segoe UI"/>
      <w:b/>
      <w:bCs/>
      <w:sz w:val="24"/>
      <w:szCs w:val="24"/>
      <w:u w:val="single" w:color="000000"/>
      <w:lang w:val="ro-RO" w:eastAsia="ro-RO" w:bidi="ro-RO"/>
    </w:rPr>
  </w:style>
  <w:style w:type="paragraph" w:styleId="BodyText">
    <w:name w:val="Body Text"/>
    <w:basedOn w:val="Normal"/>
    <w:link w:val="BodyTextChar"/>
    <w:uiPriority w:val="1"/>
    <w:qFormat/>
    <w:rsid w:val="0016145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6145A"/>
    <w:rPr>
      <w:rFonts w:ascii="Segoe UI" w:eastAsia="Segoe UI" w:hAnsi="Segoe UI" w:cs="Segoe UI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16145A"/>
    <w:pPr>
      <w:spacing w:line="318" w:lineRule="exact"/>
      <w:ind w:left="820" w:hanging="360"/>
    </w:pPr>
  </w:style>
  <w:style w:type="character" w:styleId="Hyperlink">
    <w:name w:val="Hyperlink"/>
    <w:basedOn w:val="DefaultParagraphFont"/>
    <w:uiPriority w:val="99"/>
    <w:unhideWhenUsed/>
    <w:rsid w:val="00161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pc</cp:lastModifiedBy>
  <cp:revision>4</cp:revision>
  <cp:lastPrinted>2020-07-02T12:41:00Z</cp:lastPrinted>
  <dcterms:created xsi:type="dcterms:W3CDTF">2021-04-28T12:00:00Z</dcterms:created>
  <dcterms:modified xsi:type="dcterms:W3CDTF">2021-07-05T10:53:00Z</dcterms:modified>
</cp:coreProperties>
</file>